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令和８年太子町規程第２号</w:t>
      </w:r>
    </w:p>
    <w:p>
      <w:pPr>
        <w:pStyle w:val="0"/>
        <w:autoSpaceDE w:val="0"/>
        <w:autoSpaceDN w:val="0"/>
        <w:adjustRightInd w:val="0"/>
        <w:rPr>
          <w:rFonts w:hint="default" w:ascii="ＭＳ 明朝" w:hAnsi="ＭＳ 明朝" w:eastAsia="ＭＳ 明朝"/>
          <w:color w:val="000000" w:themeColor="text1"/>
          <w:kern w:val="0"/>
          <w:sz w:val="24"/>
        </w:rPr>
      </w:pPr>
    </w:p>
    <w:p>
      <w:pPr>
        <w:pStyle w:val="0"/>
        <w:autoSpaceDE w:val="0"/>
        <w:autoSpaceDN w:val="0"/>
        <w:adjustRightInd w:val="0"/>
        <w:ind w:firstLine="902" w:firstLineChars="3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太子町請負業者等選定規程</w:t>
      </w:r>
    </w:p>
    <w:p>
      <w:pPr>
        <w:pStyle w:val="0"/>
        <w:autoSpaceDE w:val="0"/>
        <w:autoSpaceDN w:val="0"/>
        <w:adjustRightInd w:val="0"/>
        <w:ind w:firstLine="902" w:firstLineChars="300"/>
        <w:rPr>
          <w:rFonts w:hint="default" w:ascii="ＭＳ 明朝" w:hAnsi="ＭＳ 明朝" w:eastAsia="ＭＳ 明朝"/>
          <w:color w:val="000000" w:themeColor="text1"/>
          <w:kern w:val="0"/>
          <w:sz w:val="24"/>
        </w:rPr>
      </w:pP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太子町建設工事請負業者選定規程（昭和</w:t>
      </w:r>
      <w:r>
        <w:rPr>
          <w:rFonts w:hint="eastAsia" w:ascii="ＭＳ 明朝" w:hAnsi="ＭＳ 明朝" w:eastAsia="ＭＳ 明朝"/>
          <w:color w:val="000000" w:themeColor="text1"/>
          <w:kern w:val="0"/>
          <w:sz w:val="24"/>
        </w:rPr>
        <w:t>54</w:t>
      </w:r>
      <w:r>
        <w:rPr>
          <w:rFonts w:hint="eastAsia" w:ascii="ＭＳ 明朝" w:hAnsi="ＭＳ 明朝" w:eastAsia="ＭＳ 明朝"/>
          <w:color w:val="000000" w:themeColor="text1"/>
          <w:kern w:val="0"/>
          <w:sz w:val="24"/>
        </w:rPr>
        <w:t>年太子町規程第２号）の全部を改正する。</w:t>
      </w:r>
    </w:p>
    <w:p>
      <w:pPr>
        <w:pStyle w:val="0"/>
        <w:autoSpaceDE w:val="0"/>
        <w:autoSpaceDN w:val="0"/>
        <w:adjustRightInd w:val="0"/>
        <w:ind w:left="0" w:leftChars="0" w:firstLine="0" w:firstLineChars="0"/>
        <w:rPr>
          <w:rFonts w:hint="default" w:ascii="ＭＳ 明朝" w:hAnsi="ＭＳ 明朝" w:eastAsia="ＭＳ 明朝"/>
          <w:color w:val="000000" w:themeColor="text1"/>
          <w:kern w:val="0"/>
          <w:sz w:val="24"/>
        </w:rPr>
      </w:pP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（趣旨）</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第１条　この規程は、本町が発注する建設工事（建設業法（昭和</w:t>
      </w:r>
      <w:r>
        <w:rPr>
          <w:rFonts w:hint="eastAsia" w:ascii="ＭＳ 明朝" w:hAnsi="ＭＳ 明朝" w:eastAsia="ＭＳ 明朝"/>
          <w:color w:val="000000" w:themeColor="text1"/>
          <w:kern w:val="0"/>
          <w:sz w:val="24"/>
        </w:rPr>
        <w:t>24</w:t>
      </w:r>
      <w:r>
        <w:rPr>
          <w:rFonts w:hint="eastAsia" w:ascii="ＭＳ 明朝" w:hAnsi="ＭＳ 明朝" w:eastAsia="ＭＳ 明朝"/>
          <w:color w:val="000000" w:themeColor="text1"/>
          <w:kern w:val="0"/>
          <w:sz w:val="24"/>
        </w:rPr>
        <w:t>年法律第</w:t>
      </w:r>
      <w:r>
        <w:rPr>
          <w:rFonts w:hint="eastAsia" w:ascii="ＭＳ 明朝" w:hAnsi="ＭＳ 明朝" w:eastAsia="ＭＳ 明朝"/>
          <w:color w:val="000000" w:themeColor="text1"/>
          <w:kern w:val="0"/>
          <w:sz w:val="24"/>
        </w:rPr>
        <w:t>100</w:t>
      </w:r>
      <w:r>
        <w:rPr>
          <w:rFonts w:hint="eastAsia" w:ascii="ＭＳ 明朝" w:hAnsi="ＭＳ 明朝" w:eastAsia="ＭＳ 明朝"/>
          <w:color w:val="000000" w:themeColor="text1"/>
          <w:kern w:val="0"/>
          <w:sz w:val="24"/>
        </w:rPr>
        <w:t>号）</w:t>
      </w:r>
      <w:r>
        <w:rPr>
          <w:rFonts w:hint="eastAsia" w:ascii="ＭＳ 明朝" w:hAnsi="ＭＳ 明朝" w:eastAsia="ＭＳ 明朝"/>
          <w:strike w:val="0"/>
          <w:dstrike w:val="0"/>
          <w:color w:val="000000" w:themeColor="text1"/>
          <w:kern w:val="0"/>
          <w:sz w:val="24"/>
        </w:rPr>
        <w:t>第２条</w:t>
      </w:r>
      <w:r>
        <w:rPr>
          <w:rFonts w:hint="eastAsia" w:ascii="ＭＳ 明朝" w:hAnsi="ＭＳ 明朝" w:eastAsia="ＭＳ 明朝"/>
          <w:color w:val="000000" w:themeColor="text1"/>
          <w:kern w:val="0"/>
          <w:sz w:val="24"/>
        </w:rPr>
        <w:t>第１項に規定する工事をいう。以下同じ。）</w:t>
      </w:r>
      <w:r>
        <w:rPr>
          <w:rFonts w:hint="eastAsia"/>
          <w:color w:val="000000" w:themeColor="text1"/>
        </w:rPr>
        <mc:AlternateContent>
          <mc:Choice Requires="wps">
            <w:drawing>
              <wp:anchor distT="0" distB="0" distL="71755" distR="71755" simplePos="0" relativeHeight="2" behindDoc="0" locked="0" layoutInCell="1" hidden="0" allowOverlap="1">
                <wp:simplePos x="0" y="0"/>
                <wp:positionH relativeFrom="column">
                  <wp:posOffset>187325</wp:posOffset>
                </wp:positionH>
                <wp:positionV relativeFrom="paragraph">
                  <wp:posOffset>588010</wp:posOffset>
                </wp:positionV>
                <wp:extent cx="15240" cy="457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H="1" flipV="1">
                          <a:off x="0" y="0"/>
                          <a:ext cx="15240" cy="45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2;mso-position-horizontal-relative:text;mso-wrap-distance-top:0pt;position:absolute;mso-position-vertical-relative:text;mso-wrap-distance-bottom:0pt;mso-wrap-distance-left:5.65pt;mso-wrap-distance-right:5.65pt;flip:x y;" o:spid="_x0000_s1026" o:allowincell="t" o:allowoverlap="t" filled="f" stroked="t" strokecolor="#5b9bd5 [3204]" strokeweight="0.5pt" o:spt="20" from="14.75pt,46.3pt" to="15.95pt,49.900000000000006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color w:val="000000" w:themeColor="text1"/>
          <w:kern w:val="0"/>
          <w:sz w:val="24"/>
        </w:rPr>
        <w:t>、測量・コンサルタント業務、物品購入及び業務委託等において競争入札及</w:t>
      </w:r>
      <w:r>
        <w:rPr>
          <w:rFonts w:hint="eastAsia" w:ascii="ＭＳ 明朝" w:hAnsi="ＭＳ 明朝" w:eastAsia="ＭＳ 明朝"/>
          <w:strike w:val="0"/>
          <w:dstrike w:val="0"/>
          <w:color w:val="000000" w:themeColor="text1"/>
          <w:kern w:val="0"/>
          <w:sz w:val="24"/>
        </w:rPr>
        <w:t>び随意</w:t>
      </w:r>
      <w:r>
        <w:rPr>
          <w:rFonts w:hint="eastAsia" w:ascii="ＭＳ 明朝" w:hAnsi="ＭＳ 明朝" w:eastAsia="ＭＳ 明朝"/>
          <w:color w:val="000000" w:themeColor="text1"/>
          <w:kern w:val="0"/>
          <w:sz w:val="24"/>
        </w:rPr>
        <w:t>契約をする場合の請負業者等に必要な資格の審査及び選定に関し、必要な事項を定めるものとする。</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（参加資格）</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第２条　地方自治法施行令（昭和</w:t>
      </w:r>
      <w:r>
        <w:rPr>
          <w:rFonts w:hint="default" w:ascii="ＭＳ 明朝" w:hAnsi="ＭＳ 明朝" w:eastAsia="ＭＳ 明朝"/>
          <w:color w:val="000000" w:themeColor="text1"/>
          <w:kern w:val="0"/>
          <w:sz w:val="24"/>
        </w:rPr>
        <w:t>22</w:t>
      </w:r>
      <w:r>
        <w:rPr>
          <w:rFonts w:hint="eastAsia" w:ascii="ＭＳ 明朝" w:hAnsi="ＭＳ 明朝" w:eastAsia="ＭＳ 明朝"/>
          <w:color w:val="000000" w:themeColor="text1"/>
          <w:kern w:val="0"/>
          <w:sz w:val="24"/>
        </w:rPr>
        <w:t>年政令第</w:t>
      </w:r>
      <w:r>
        <w:rPr>
          <w:rFonts w:hint="default" w:ascii="ＭＳ 明朝" w:hAnsi="ＭＳ 明朝" w:eastAsia="ＭＳ 明朝"/>
          <w:color w:val="000000" w:themeColor="text1"/>
          <w:kern w:val="0"/>
          <w:sz w:val="24"/>
        </w:rPr>
        <w:t>16</w:t>
      </w:r>
      <w:r>
        <w:rPr>
          <w:rFonts w:hint="eastAsia" w:ascii="ＭＳ 明朝" w:hAnsi="ＭＳ 明朝" w:eastAsia="ＭＳ 明朝"/>
          <w:color w:val="000000" w:themeColor="text1"/>
          <w:kern w:val="0"/>
          <w:sz w:val="24"/>
        </w:rPr>
        <w:t>号）第</w:t>
      </w:r>
      <w:r>
        <w:rPr>
          <w:rFonts w:hint="default" w:ascii="ＭＳ 明朝" w:hAnsi="ＭＳ 明朝" w:eastAsia="ＭＳ 明朝"/>
          <w:color w:val="000000" w:themeColor="text1"/>
          <w:kern w:val="0"/>
          <w:sz w:val="24"/>
        </w:rPr>
        <w:t>167</w:t>
      </w:r>
      <w:r>
        <w:rPr>
          <w:rFonts w:hint="eastAsia" w:ascii="ＭＳ 明朝" w:hAnsi="ＭＳ 明朝" w:eastAsia="ＭＳ 明朝"/>
          <w:color w:val="000000" w:themeColor="text1"/>
          <w:kern w:val="0"/>
          <w:sz w:val="24"/>
        </w:rPr>
        <w:t>条の５第１項及び第</w:t>
      </w:r>
      <w:r>
        <w:rPr>
          <w:rFonts w:hint="default" w:ascii="ＭＳ 明朝" w:hAnsi="ＭＳ 明朝" w:eastAsia="ＭＳ 明朝"/>
          <w:color w:val="000000" w:themeColor="text1"/>
          <w:kern w:val="0"/>
          <w:sz w:val="24"/>
        </w:rPr>
        <w:t>167</w:t>
      </w:r>
      <w:r>
        <w:rPr>
          <w:rFonts w:hint="eastAsia" w:ascii="ＭＳ 明朝" w:hAnsi="ＭＳ 明朝" w:eastAsia="ＭＳ 明朝"/>
          <w:color w:val="000000" w:themeColor="text1"/>
          <w:kern w:val="0"/>
          <w:sz w:val="24"/>
        </w:rPr>
        <w:t>条の</w:t>
      </w:r>
      <w:r>
        <w:rPr>
          <w:rFonts w:hint="default" w:ascii="ＭＳ 明朝" w:hAnsi="ＭＳ 明朝" w:eastAsia="ＭＳ 明朝"/>
          <w:color w:val="000000" w:themeColor="text1"/>
          <w:kern w:val="0"/>
          <w:sz w:val="24"/>
        </w:rPr>
        <w:t>11</w:t>
      </w:r>
      <w:r>
        <w:rPr>
          <w:rFonts w:hint="eastAsia" w:ascii="ＭＳ 明朝" w:hAnsi="ＭＳ 明朝" w:eastAsia="ＭＳ 明朝"/>
          <w:color w:val="000000" w:themeColor="text1"/>
          <w:kern w:val="0"/>
          <w:sz w:val="24"/>
        </w:rPr>
        <w:t>第２項に基づく業者の参加資格は、別に定めるものとする。</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（資格審査の対象者）</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第３条　入札参加業者の資格審査は、町長の定める期間内に一般競争（指名競争）参加資格審査申請書（以下「審査申請書」という。様式は、全国統一様式及び別に定める書類を添付）を提出したものについて行うものとする。</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（資格審査会）</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第４条　入札参加業者</w:t>
      </w:r>
      <w:r>
        <w:rPr>
          <w:rFonts w:hint="eastAsia" w:ascii="ＭＳ 明朝" w:hAnsi="ＭＳ 明朝" w:eastAsia="ＭＳ 明朝"/>
          <w:strike w:val="0"/>
          <w:dstrike w:val="0"/>
          <w:color w:val="000000" w:themeColor="text1"/>
          <w:kern w:val="0"/>
          <w:sz w:val="24"/>
        </w:rPr>
        <w:t>の</w:t>
      </w:r>
      <w:r>
        <w:rPr>
          <w:rFonts w:hint="eastAsia" w:ascii="ＭＳ 明朝" w:hAnsi="ＭＳ 明朝" w:eastAsia="ＭＳ 明朝"/>
          <w:color w:val="000000" w:themeColor="text1"/>
          <w:kern w:val="0"/>
          <w:sz w:val="24"/>
        </w:rPr>
        <w:t>資格の審査及び級別格付けをするために太子町建設工事等入札参加者資格審査会（以下「資格審査会」という。）を置く。資格審査会の組織運営その他については別に定める。</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（資格審査）</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第５条　町長は、審査申請書を提出した入札参加業者のうち、次の各号のいずれかに該当する者については前条に定める資格審査会の審査の結果に基づき、入札に参加する資格を与えないものとする。</w:t>
      </w:r>
    </w:p>
    <w:p>
      <w:pPr>
        <w:pStyle w:val="0"/>
        <w:autoSpaceDE w:val="0"/>
        <w:autoSpaceDN w:val="0"/>
        <w:adjustRightInd w:val="0"/>
        <w:ind w:left="572" w:leftChars="100" w:hanging="301" w:hanging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１</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地方自治法施行令第</w:t>
      </w:r>
      <w:r>
        <w:rPr>
          <w:rFonts w:hint="default" w:ascii="ＭＳ 明朝" w:hAnsi="ＭＳ 明朝" w:eastAsia="ＭＳ 明朝"/>
          <w:color w:val="000000" w:themeColor="text1"/>
          <w:kern w:val="0"/>
          <w:sz w:val="24"/>
        </w:rPr>
        <w:t>167</w:t>
      </w:r>
      <w:r>
        <w:rPr>
          <w:rFonts w:hint="eastAsia" w:ascii="ＭＳ 明朝" w:hAnsi="ＭＳ 明朝" w:eastAsia="ＭＳ 明朝"/>
          <w:color w:val="000000" w:themeColor="text1"/>
          <w:kern w:val="0"/>
          <w:sz w:val="24"/>
        </w:rPr>
        <w:t>条の４第２項各号の規定に該当する事実があつたと認められる者で、その事実があった後２年を経過していない者</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２</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国税又は地方税を滞納している者</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３</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経営状態が不健全であると認められる者</w:t>
      </w:r>
    </w:p>
    <w:p>
      <w:pPr>
        <w:pStyle w:val="0"/>
        <w:autoSpaceDE w:val="0"/>
        <w:autoSpaceDN w:val="0"/>
        <w:adjustRightInd w:val="0"/>
        <w:ind w:firstLine="301" w:firstLineChars="100"/>
        <w:jc w:val="distribute"/>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４</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審査申請書の重要な事項について虚偽の記載をし又は重</w:t>
      </w:r>
    </w:p>
    <w:p>
      <w:pPr>
        <w:pStyle w:val="0"/>
        <w:autoSpaceDE w:val="0"/>
        <w:autoSpaceDN w:val="0"/>
        <w:adjustRightInd w:val="0"/>
        <w:ind w:firstLine="601" w:firstLineChars="2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要な事項について記載しなかった者</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（有資格業者の級別格付け）</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第６条　町長は、前条各号に該当する入札参加業者を除き、資格審査会の審査の結果に基づき、土木一式工事、建築一式工事及びその他の建設工事について、別表１のとおり級別格付けを行うものとする。</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２　前項の格付けは、建設業法第</w:t>
      </w:r>
      <w:r>
        <w:rPr>
          <w:rFonts w:hint="eastAsia" w:ascii="ＭＳ 明朝" w:hAnsi="ＭＳ 明朝" w:eastAsia="ＭＳ 明朝"/>
          <w:color w:val="000000" w:themeColor="text1"/>
          <w:kern w:val="0"/>
          <w:sz w:val="24"/>
        </w:rPr>
        <w:t>27</w:t>
      </w:r>
      <w:r>
        <w:rPr>
          <w:rFonts w:hint="eastAsia" w:ascii="ＭＳ 明朝" w:hAnsi="ＭＳ 明朝" w:eastAsia="ＭＳ 明朝"/>
          <w:color w:val="000000" w:themeColor="text1"/>
          <w:kern w:val="0"/>
          <w:sz w:val="24"/>
        </w:rPr>
        <w:t>条の</w:t>
      </w:r>
      <w:r>
        <w:rPr>
          <w:rFonts w:hint="eastAsia" w:ascii="ＭＳ 明朝" w:hAnsi="ＭＳ 明朝" w:eastAsia="ＭＳ 明朝"/>
          <w:color w:val="000000" w:themeColor="text1"/>
          <w:kern w:val="0"/>
          <w:sz w:val="24"/>
        </w:rPr>
        <w:t>23</w:t>
      </w:r>
      <w:r>
        <w:rPr>
          <w:rFonts w:hint="eastAsia" w:ascii="ＭＳ 明朝" w:hAnsi="ＭＳ 明朝" w:eastAsia="ＭＳ 明朝"/>
          <w:color w:val="000000" w:themeColor="text1"/>
          <w:kern w:val="0"/>
          <w:sz w:val="24"/>
        </w:rPr>
        <w:t>の規定による経営に関す</w:t>
      </w:r>
    </w:p>
    <w:p>
      <w:pPr>
        <w:pStyle w:val="0"/>
        <w:autoSpaceDE w:val="0"/>
        <w:autoSpaceDN w:val="0"/>
        <w:adjustRightInd w:val="0"/>
        <w:ind w:left="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る客観的事項の審査の結果、工事成績等を勘案して行うものとする。ただし、本町の建設工事を執行したことのない入札参加業者については、客観的事項の審査の結果に基づいて格付けを行うものとする。</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（格付けの有効期間）</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第７条　格付け有効期間は、格付けを決定した年度から２年後の改正される日までとする。ただし、提出年以外の年に受け付けたものについては、格付け決定した日から翌年の改正される日までとする。</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（期間後に提出された審査申請書の取扱い）</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第８条　町長の定めた期間後に提出された審査申請書は、これを受理しないものとする。ただし、町長が、期間内に提出できなかつたことについてやむを得ない事由があると認めた場合は、この限りでない。</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（格付けの変更等）</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第９条　町長は、格付けの調整が特に必要であると認めた場合は、資格審査会の審査の結果に基づき、格付けの変更をすることができる。</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（発注の基準）</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w:t>
      </w:r>
      <w:r>
        <w:rPr>
          <w:rFonts w:hint="default" w:ascii="ＭＳ 明朝" w:hAnsi="ＭＳ 明朝" w:eastAsia="ＭＳ 明朝"/>
          <w:color w:val="000000" w:themeColor="text1"/>
          <w:kern w:val="0"/>
          <w:sz w:val="24"/>
        </w:rPr>
        <w:t>10</w:t>
      </w:r>
      <w:r>
        <w:rPr>
          <w:rFonts w:hint="eastAsia" w:ascii="ＭＳ 明朝" w:hAnsi="ＭＳ 明朝" w:eastAsia="ＭＳ 明朝"/>
          <w:color w:val="000000" w:themeColor="text1"/>
          <w:kern w:val="0"/>
          <w:sz w:val="24"/>
        </w:rPr>
        <w:t>条　入札参加業者に対する各等級別の発注基準額は、別表１に定めるとおりとする。</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２　発注基準額は、設計金額とする。</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（入札参加業者の選定基準）</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w:t>
      </w:r>
      <w:r>
        <w:rPr>
          <w:rFonts w:hint="default" w:ascii="ＭＳ 明朝" w:hAnsi="ＭＳ 明朝" w:eastAsia="ＭＳ 明朝"/>
          <w:color w:val="000000" w:themeColor="text1"/>
          <w:kern w:val="0"/>
          <w:sz w:val="24"/>
        </w:rPr>
        <w:t>11</w:t>
      </w:r>
      <w:r>
        <w:rPr>
          <w:rFonts w:hint="eastAsia" w:ascii="ＭＳ 明朝" w:hAnsi="ＭＳ 明朝" w:eastAsia="ＭＳ 明朝"/>
          <w:color w:val="000000" w:themeColor="text1"/>
          <w:kern w:val="0"/>
          <w:sz w:val="24"/>
        </w:rPr>
        <w:t>条　</w:t>
      </w:r>
      <w:r>
        <w:rPr>
          <w:rFonts w:hint="eastAsia" w:ascii="ＭＳ 明朝" w:hAnsi="ＭＳ 明朝" w:eastAsia="ＭＳ 明朝"/>
          <w:strike w:val="0"/>
          <w:dstrike w:val="0"/>
          <w:color w:val="000000" w:themeColor="text1"/>
          <w:kern w:val="0"/>
          <w:sz w:val="24"/>
        </w:rPr>
        <w:t>競争入札</w:t>
      </w:r>
      <w:r>
        <w:rPr>
          <w:rFonts w:hint="eastAsia" w:ascii="ＭＳ 明朝" w:hAnsi="ＭＳ 明朝" w:eastAsia="ＭＳ 明朝"/>
          <w:color w:val="000000" w:themeColor="text1"/>
          <w:kern w:val="0"/>
          <w:sz w:val="24"/>
        </w:rPr>
        <w:t>における建設工事を行う請負業者の選定は、格付けされた入札参加業者の中から別表１の区分に従い行うものとする。</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２　次の各号に掲げる工事については、前項の規定によらないで行うことができる。</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１</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特殊な機械又は技術を必要とする工事</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２</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災害時における応急復旧工事</w:t>
      </w:r>
    </w:p>
    <w:p>
      <w:pPr>
        <w:pStyle w:val="0"/>
        <w:autoSpaceDE w:val="0"/>
        <w:autoSpaceDN w:val="0"/>
        <w:adjustRightInd w:val="0"/>
        <w:ind w:left="812" w:leftChars="100" w:hanging="511" w:hangingChars="170"/>
        <w:jc w:val="both"/>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３</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随意契約に係る工事で前項の規定による選定が困難と認</w:t>
      </w:r>
    </w:p>
    <w:p>
      <w:pPr>
        <w:pStyle w:val="0"/>
        <w:autoSpaceDE w:val="0"/>
        <w:autoSpaceDN w:val="0"/>
        <w:adjustRightInd w:val="0"/>
        <w:ind w:left="811" w:leftChars="200" w:hanging="210" w:hangingChars="70"/>
        <w:jc w:val="both"/>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められるとき。</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３　町内業者（本町に事業所を有し、法人町民税等を納付した者）については、その格付けされた等級の上位１等級の入札に参加させることができる。</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（請負業者等の審査及び決定）</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w:t>
      </w:r>
      <w:r>
        <w:rPr>
          <w:rFonts w:hint="default" w:ascii="ＭＳ 明朝" w:hAnsi="ＭＳ 明朝" w:eastAsia="ＭＳ 明朝"/>
          <w:color w:val="000000" w:themeColor="text1"/>
          <w:kern w:val="0"/>
          <w:sz w:val="24"/>
        </w:rPr>
        <w:t>12</w:t>
      </w:r>
      <w:r>
        <w:rPr>
          <w:rFonts w:hint="eastAsia" w:ascii="ＭＳ 明朝" w:hAnsi="ＭＳ 明朝" w:eastAsia="ＭＳ 明朝"/>
          <w:color w:val="000000" w:themeColor="text1"/>
          <w:kern w:val="0"/>
          <w:sz w:val="24"/>
        </w:rPr>
        <w:t>条　建設工事、測量・コンサルタント業務、物品購入及び業務委託等を</w:t>
      </w:r>
      <w:bookmarkStart w:id="0" w:name="_Hlk190861774"/>
      <w:r>
        <w:rPr>
          <w:rFonts w:hint="eastAsia" w:ascii="ＭＳ 明朝" w:hAnsi="ＭＳ 明朝" w:eastAsia="ＭＳ 明朝"/>
          <w:color w:val="000000" w:themeColor="text1"/>
          <w:kern w:val="0"/>
          <w:sz w:val="24"/>
        </w:rPr>
        <w:t>指名</w:t>
      </w:r>
      <w:r>
        <w:rPr>
          <w:rFonts w:hint="eastAsia" w:ascii="ＭＳ 明朝" w:hAnsi="ＭＳ 明朝" w:eastAsia="ＭＳ 明朝"/>
          <w:strike w:val="0"/>
          <w:dstrike w:val="0"/>
          <w:color w:val="000000" w:themeColor="text1"/>
          <w:kern w:val="0"/>
          <w:sz w:val="24"/>
        </w:rPr>
        <w:t>競争</w:t>
      </w:r>
      <w:r>
        <w:rPr>
          <w:rFonts w:hint="eastAsia" w:ascii="ＭＳ 明朝" w:hAnsi="ＭＳ 明朝" w:eastAsia="ＭＳ 明朝"/>
          <w:color w:val="000000" w:themeColor="text1"/>
          <w:kern w:val="0"/>
          <w:sz w:val="24"/>
        </w:rPr>
        <w:t>入札又は随意契約（以下「指名競争入札等」という。）に付する場合においての請負業者</w:t>
      </w:r>
      <w:bookmarkEnd w:id="0"/>
      <w:r>
        <w:rPr>
          <w:rFonts w:hint="eastAsia" w:ascii="ＭＳ 明朝" w:hAnsi="ＭＳ 明朝" w:eastAsia="ＭＳ 明朝"/>
          <w:color w:val="000000" w:themeColor="text1"/>
          <w:kern w:val="0"/>
          <w:sz w:val="24"/>
        </w:rPr>
        <w:t>等を選定するために、太子町請負業者等選定委員会を置く（以下「選定委員会」という。）。選定委員会の組織運営その他については別に定める。</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２　町長は、選定委員会の審査の結果に基づき、指名競争入札における入札参加業者及び随意契約における契約の相手方を選定するものとする。</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（特定建設業者の指定）</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w:t>
      </w:r>
      <w:r>
        <w:rPr>
          <w:rFonts w:hint="default" w:ascii="ＭＳ 明朝" w:hAnsi="ＭＳ 明朝" w:eastAsia="ＭＳ 明朝"/>
          <w:color w:val="000000" w:themeColor="text1"/>
          <w:kern w:val="0"/>
          <w:sz w:val="24"/>
        </w:rPr>
        <w:t>13</w:t>
      </w:r>
      <w:r>
        <w:rPr>
          <w:rFonts w:hint="eastAsia" w:ascii="ＭＳ 明朝" w:hAnsi="ＭＳ 明朝" w:eastAsia="ＭＳ 明朝"/>
          <w:color w:val="000000" w:themeColor="text1"/>
          <w:kern w:val="0"/>
          <w:sz w:val="24"/>
        </w:rPr>
        <w:t>条　選定委員会は、指名競争入札等において設計金額が</w:t>
      </w:r>
      <w:r>
        <w:rPr>
          <w:rFonts w:hint="default" w:ascii="ＭＳ 明朝" w:hAnsi="ＭＳ 明朝" w:eastAsia="ＭＳ 明朝"/>
          <w:color w:val="000000" w:themeColor="text1"/>
          <w:kern w:val="0"/>
          <w:sz w:val="24"/>
        </w:rPr>
        <w:t>5,000</w:t>
      </w:r>
      <w:r>
        <w:rPr>
          <w:rFonts w:hint="eastAsia" w:ascii="ＭＳ 明朝" w:hAnsi="ＭＳ 明朝" w:eastAsia="ＭＳ 明朝"/>
          <w:color w:val="000000" w:themeColor="text1"/>
          <w:kern w:val="0"/>
          <w:sz w:val="24"/>
        </w:rPr>
        <w:t>万円（建築一式工事については、</w:t>
      </w:r>
      <w:r>
        <w:rPr>
          <w:rFonts w:hint="eastAsia" w:ascii="ＭＳ 明朝" w:hAnsi="ＭＳ 明朝" w:eastAsia="ＭＳ 明朝"/>
          <w:color w:val="000000" w:themeColor="text1"/>
          <w:kern w:val="0"/>
          <w:sz w:val="24"/>
        </w:rPr>
        <w:t>8</w:t>
      </w:r>
      <w:r>
        <w:rPr>
          <w:rFonts w:hint="default" w:ascii="ＭＳ 明朝" w:hAnsi="ＭＳ 明朝" w:eastAsia="ＭＳ 明朝"/>
          <w:color w:val="000000" w:themeColor="text1"/>
          <w:kern w:val="0"/>
          <w:sz w:val="24"/>
        </w:rPr>
        <w:t>,000</w:t>
      </w:r>
      <w:r>
        <w:rPr>
          <w:rFonts w:hint="eastAsia" w:ascii="ＭＳ 明朝" w:hAnsi="ＭＳ 明朝" w:eastAsia="ＭＳ 明朝"/>
          <w:color w:val="000000" w:themeColor="text1"/>
          <w:kern w:val="0"/>
          <w:sz w:val="24"/>
        </w:rPr>
        <w:t>万円）以上の工事については、特定建設業の許可を受けた建設業者の中から入札参加業者を選定するものとする。</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手持工事数</w:t>
      </w:r>
      <w:r>
        <w:rPr>
          <w:rFonts w:hint="eastAsia" w:ascii="ＭＳ 明朝" w:hAnsi="ＭＳ 明朝" w:eastAsia="ＭＳ 明朝"/>
          <w:color w:val="000000" w:themeColor="text1"/>
          <w:kern w:val="0"/>
          <w:sz w:val="24"/>
        </w:rPr>
        <w:t>)</w:t>
      </w:r>
    </w:p>
    <w:p>
      <w:pPr>
        <w:pStyle w:val="0"/>
        <w:autoSpaceDE w:val="0"/>
        <w:autoSpaceDN w:val="0"/>
        <w:adjustRightInd w:val="0"/>
        <w:ind w:left="220" w:hanging="220"/>
        <w:rPr>
          <w:rFonts w:hint="default" w:ascii="ＭＳ 明朝" w:hAnsi="ＭＳ 明朝" w:eastAsia="ＭＳ 明朝"/>
          <w:color w:val="000000" w:themeColor="text1"/>
          <w:kern w:val="0"/>
          <w:sz w:val="24"/>
        </w:rPr>
      </w:pPr>
      <w:bookmarkStart w:id="1" w:name="_Hlk191033793"/>
      <w:r>
        <w:rPr>
          <w:rFonts w:hint="eastAsia" w:ascii="ＭＳ 明朝" w:hAnsi="ＭＳ 明朝" w:eastAsia="ＭＳ 明朝"/>
          <w:color w:val="000000" w:themeColor="text1"/>
          <w:kern w:val="0"/>
          <w:sz w:val="24"/>
        </w:rPr>
        <w:t>第</w:t>
      </w:r>
      <w:r>
        <w:rPr>
          <w:rFonts w:hint="eastAsia" w:ascii="ＭＳ 明朝" w:hAnsi="ＭＳ 明朝" w:eastAsia="ＭＳ 明朝"/>
          <w:color w:val="000000" w:themeColor="text1"/>
          <w:kern w:val="0"/>
          <w:sz w:val="24"/>
        </w:rPr>
        <w:t>14</w:t>
      </w:r>
      <w:r>
        <w:rPr>
          <w:rFonts w:hint="eastAsia" w:ascii="ＭＳ 明朝" w:hAnsi="ＭＳ 明朝" w:eastAsia="ＭＳ 明朝"/>
          <w:color w:val="000000" w:themeColor="text1"/>
          <w:kern w:val="0"/>
          <w:sz w:val="24"/>
        </w:rPr>
        <w:t>条　競争入札の開札日において、太子町が発注する建設工事の手持工事の総数（以下「手持工事数」という。）が別に定める数を超える者については、入札に参加することができない。手持工事数の期間は、一般競争入札においては、落札候補者決定時、指名競争入札においては落札決定時から工期末日までとする。ただし、工事完成検査合格の通知日が工期末日までの場合は、当該通知日までとする。また、緊急の必要による工事や災害その他やむを得ない特別の事情による工事については、この限りでない。</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２　前項の手持工事数は、随意契約によるものにおいては適用しないものとする。　</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bookmarkEnd w:id="1"/>
      <w:r>
        <w:rPr>
          <w:rFonts w:hint="eastAsia" w:ascii="ＭＳ 明朝" w:hAnsi="ＭＳ 明朝" w:eastAsia="ＭＳ 明朝"/>
          <w:color w:val="000000" w:themeColor="text1"/>
          <w:kern w:val="0"/>
          <w:sz w:val="24"/>
        </w:rPr>
        <w:t>（選定の特例）</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w:t>
      </w:r>
      <w:r>
        <w:rPr>
          <w:rFonts w:hint="default" w:ascii="ＭＳ 明朝" w:hAnsi="ＭＳ 明朝" w:eastAsia="ＭＳ 明朝"/>
          <w:color w:val="000000" w:themeColor="text1"/>
          <w:kern w:val="0"/>
          <w:sz w:val="24"/>
        </w:rPr>
        <w:t>1</w:t>
      </w:r>
      <w:r>
        <w:rPr>
          <w:rFonts w:hint="eastAsia" w:ascii="ＭＳ 明朝" w:hAnsi="ＭＳ 明朝" w:eastAsia="ＭＳ 明朝"/>
          <w:color w:val="000000" w:themeColor="text1"/>
          <w:kern w:val="0"/>
          <w:sz w:val="24"/>
        </w:rPr>
        <w:t>5</w:t>
      </w:r>
      <w:r>
        <w:rPr>
          <w:rFonts w:hint="eastAsia" w:ascii="ＭＳ 明朝" w:hAnsi="ＭＳ 明朝" w:eastAsia="ＭＳ 明朝"/>
          <w:color w:val="000000" w:themeColor="text1"/>
          <w:kern w:val="0"/>
          <w:sz w:val="24"/>
        </w:rPr>
        <w:t>条　有資格業者の登録がない業種に係る契約をする場合又は有資格業者が少数で競争環境が整わない場合に限り、次の各号に該当する契約については、第３条の規定にかかわらず、審査申請書を提出していない請負業者等を選定することができるものとする。</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１</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災害その他の理由により緊急な工事をするとき。</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２</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特殊な機械又は技術を必要とするとき。</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３</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特殊事情のため他の官公署と密接な関連性があるとき。</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４</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特殊な物品又は機械を購入するとき。</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５</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建設用工事材料が特殊な製品であるとき。</w:t>
      </w:r>
    </w:p>
    <w:p>
      <w:pPr>
        <w:pStyle w:val="0"/>
        <w:autoSpaceDE w:val="0"/>
        <w:autoSpaceDN w:val="0"/>
        <w:adjustRightInd w:val="0"/>
        <w:ind w:left="-156" w:leftChars="-52" w:firstLine="433" w:firstLineChars="144"/>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６</w:t>
      </w: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前各号にあげるもののほか町長が特に必要と認めるとき。</w:t>
      </w:r>
    </w:p>
    <w:p>
      <w:pPr>
        <w:pStyle w:val="0"/>
        <w:autoSpaceDE w:val="0"/>
        <w:autoSpaceDN w:val="0"/>
        <w:adjustRightInd w:val="0"/>
        <w:ind w:left="0" w:leftChars="0" w:firstLine="301"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（請負業者等選定留意事項）</w:t>
      </w:r>
    </w:p>
    <w:p>
      <w:pPr>
        <w:pStyle w:val="0"/>
        <w:autoSpaceDE w:val="0"/>
        <w:autoSpaceDN w:val="0"/>
        <w:adjustRightInd w:val="0"/>
        <w:ind w:left="220" w:hanging="22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第</w:t>
      </w:r>
      <w:r>
        <w:rPr>
          <w:rFonts w:hint="default" w:ascii="ＭＳ 明朝" w:hAnsi="ＭＳ 明朝" w:eastAsia="ＭＳ 明朝"/>
          <w:color w:val="000000" w:themeColor="text1"/>
          <w:kern w:val="0"/>
          <w:sz w:val="24"/>
        </w:rPr>
        <w:t>1</w:t>
      </w:r>
      <w:r>
        <w:rPr>
          <w:rFonts w:hint="eastAsia" w:ascii="ＭＳ 明朝" w:hAnsi="ＭＳ 明朝" w:eastAsia="ＭＳ 明朝"/>
          <w:color w:val="000000" w:themeColor="text1"/>
          <w:kern w:val="0"/>
          <w:sz w:val="24"/>
        </w:rPr>
        <w:t>6</w:t>
      </w:r>
      <w:r>
        <w:rPr>
          <w:rFonts w:hint="eastAsia" w:ascii="ＭＳ 明朝" w:hAnsi="ＭＳ 明朝" w:eastAsia="ＭＳ 明朝"/>
          <w:color w:val="000000" w:themeColor="text1"/>
          <w:kern w:val="0"/>
          <w:sz w:val="24"/>
        </w:rPr>
        <w:t>条　請負業者等の選定にあたっては、次の各号に掲げる事項について留意しなければならない。</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１</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直前２年間の本町における工事成績、安全成績及び工事協</w:t>
      </w:r>
    </w:p>
    <w:p>
      <w:pPr>
        <w:pStyle w:val="0"/>
        <w:autoSpaceDE w:val="0"/>
        <w:autoSpaceDN w:val="0"/>
        <w:adjustRightInd w:val="0"/>
        <w:ind w:firstLine="601" w:firstLineChars="2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力の程度</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２</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不誠実な行為の有無、その他の信用状況又は暴力関係</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３</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工事経歴</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４</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当該工事に対する地理的条件</w:t>
      </w:r>
    </w:p>
    <w:p>
      <w:pPr>
        <w:pStyle w:val="0"/>
        <w:autoSpaceDE w:val="0"/>
        <w:autoSpaceDN w:val="0"/>
        <w:adjustRightInd w:val="0"/>
        <w:ind w:firstLine="301"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５</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当該工事施工についての技術的適性</w:t>
      </w:r>
    </w:p>
    <w:p>
      <w:pPr>
        <w:pStyle w:val="0"/>
        <w:ind w:firstLine="301" w:firstLineChars="100"/>
        <w:rPr>
          <w:rFonts w:hint="eastAsia"/>
          <w:color w:val="000000" w:themeColor="text1"/>
        </w:rPr>
      </w:pP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６</w:t>
      </w: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その他、</w:t>
      </w:r>
      <w:r>
        <w:rPr>
          <w:rFonts w:hint="eastAsia" w:asciiTheme="minorEastAsia" w:hAnsiTheme="minorEastAsia" w:eastAsiaTheme="minorEastAsia"/>
          <w:b w:val="0"/>
          <w:i w:val="0"/>
          <w:caps w:val="0"/>
          <w:color w:val="000000" w:themeColor="text1"/>
          <w:spacing w:val="2"/>
          <w:sz w:val="24"/>
          <w:shd w:val="clear" w:color="auto" w:fill="FFFFFF"/>
        </w:rPr>
        <w:t>契約目的に応じた適格性及び妥当性</w:t>
      </w:r>
    </w:p>
    <w:p>
      <w:pPr>
        <w:pStyle w:val="0"/>
        <w:rPr>
          <w:rFonts w:hint="eastAsia"/>
          <w:color w:val="000000" w:themeColor="text1"/>
        </w:rPr>
      </w:pPr>
    </w:p>
    <w:p>
      <w:pPr>
        <w:pStyle w:val="0"/>
        <w:autoSpaceDE w:val="0"/>
        <w:autoSpaceDN w:val="0"/>
        <w:adjustRightInd w:val="0"/>
        <w:ind w:firstLine="902" w:firstLineChars="3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附　則</w:t>
      </w:r>
    </w:p>
    <w:p>
      <w:pPr>
        <w:pStyle w:val="0"/>
        <w:autoSpaceDE w:val="0"/>
        <w:autoSpaceDN w:val="0"/>
        <w:adjustRightInd w:val="0"/>
        <w:ind w:firstLine="220"/>
        <w:rPr>
          <w:rFonts w:hint="default" w:ascii="ＭＳ 明朝" w:hAnsi="ＭＳ 明朝" w:eastAsia="ＭＳ 明朝"/>
          <w:color w:val="000000" w:themeColor="text1"/>
          <w:kern w:val="0"/>
          <w:sz w:val="24"/>
        </w:rPr>
        <w:sectPr>
          <w:footerReference r:id="rId5" w:type="default"/>
          <w:pgSz w:w="11906" w:h="16838"/>
          <w:pgMar w:top="1985" w:right="1276" w:bottom="1701" w:left="1701" w:header="720" w:footer="720" w:gutter="0"/>
          <w:cols w:space="720"/>
          <w:noEndnote w:val="1"/>
          <w:textDirection w:val="lrTb"/>
          <w:docGrid w:type="linesAndChars" w:linePitch="395" w:charSpace="12405"/>
        </w:sectPr>
      </w:pPr>
      <w:bookmarkStart w:id="2" w:name="_GoBack"/>
      <w:bookmarkEnd w:id="2"/>
      <w:r>
        <w:rPr>
          <w:rFonts w:hint="eastAsia" w:ascii="ＭＳ 明朝" w:hAnsi="ＭＳ 明朝" w:eastAsia="ＭＳ 明朝"/>
          <w:color w:val="000000" w:themeColor="text1"/>
          <w:kern w:val="0"/>
          <w:sz w:val="24"/>
        </w:rPr>
        <w:t>この規程は、令和８年４月１日から施行する。</w:t>
      </w:r>
    </w:p>
    <w:p>
      <w:pPr>
        <w:pStyle w:val="0"/>
        <w:autoSpaceDE w:val="0"/>
        <w:autoSpaceDN w:val="0"/>
        <w:adjustRightInd w:val="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別表１（第６条、第</w:t>
      </w:r>
      <w:r>
        <w:rPr>
          <w:rFonts w:hint="default" w:ascii="ＭＳ 明朝" w:hAnsi="ＭＳ 明朝" w:eastAsia="ＭＳ 明朝"/>
          <w:color w:val="000000" w:themeColor="text1"/>
          <w:kern w:val="0"/>
          <w:sz w:val="24"/>
        </w:rPr>
        <w:t>10</w:t>
      </w:r>
      <w:r>
        <w:rPr>
          <w:rFonts w:hint="eastAsia" w:ascii="ＭＳ 明朝" w:hAnsi="ＭＳ 明朝" w:eastAsia="ＭＳ 明朝"/>
          <w:color w:val="000000" w:themeColor="text1"/>
          <w:kern w:val="0"/>
          <w:sz w:val="24"/>
        </w:rPr>
        <w:t>条、第</w:t>
      </w:r>
      <w:r>
        <w:rPr>
          <w:rFonts w:hint="default" w:ascii="ＭＳ 明朝" w:hAnsi="ＭＳ 明朝" w:eastAsia="ＭＳ 明朝"/>
          <w:color w:val="000000" w:themeColor="text1"/>
          <w:kern w:val="0"/>
          <w:sz w:val="24"/>
        </w:rPr>
        <w:t>11</w:t>
      </w:r>
      <w:r>
        <w:rPr>
          <w:rFonts w:hint="eastAsia" w:ascii="ＭＳ 明朝" w:hAnsi="ＭＳ 明朝" w:eastAsia="ＭＳ 明朝"/>
          <w:color w:val="000000" w:themeColor="text1"/>
          <w:kern w:val="0"/>
          <w:sz w:val="24"/>
        </w:rPr>
        <w:t>条関係）</w:t>
      </w:r>
    </w:p>
    <w:tbl>
      <w:tblPr>
        <w:tblStyle w:val="11"/>
        <w:tblW w:w="7042" w:type="dxa"/>
        <w:tblInd w:w="-8" w:type="dxa"/>
        <w:tblBorders>
          <w:top w:val="single" w:color="auto" w:sz="6" w:space="0"/>
          <w:left w:val="single" w:color="auto" w:sz="6" w:space="0"/>
          <w:bottom w:val="single" w:color="auto" w:sz="6" w:space="0"/>
          <w:right w:val="none" w:color="auto" w:sz="0" w:space="0"/>
          <w:insideH w:val="single" w:color="auto" w:sz="6" w:space="0"/>
          <w:insideV w:val="single" w:color="auto" w:sz="6" w:space="0"/>
        </w:tblBorders>
        <w:tblLayout w:type="fixed"/>
        <w:tblCellMar>
          <w:left w:w="0" w:type="dxa"/>
          <w:right w:w="0" w:type="dxa"/>
        </w:tblCellMar>
        <w:tblLook w:firstRow="0" w:lastRow="0" w:firstColumn="0" w:lastColumn="0" w:noHBand="0" w:noVBand="0" w:val="0000"/>
      </w:tblPr>
      <w:tblGrid>
        <w:gridCol w:w="1177"/>
        <w:gridCol w:w="736"/>
        <w:gridCol w:w="2060"/>
        <w:gridCol w:w="2942"/>
        <w:gridCol w:w="127"/>
      </w:tblGrid>
      <w:tr>
        <w:trPr>
          <w:trHeight w:val="395" w:hRule="atLeast"/>
        </w:trPr>
        <w:tc>
          <w:tcPr>
            <w:tcW w:w="1177"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種　類</w:t>
            </w:r>
          </w:p>
        </w:tc>
        <w:tc>
          <w:tcPr>
            <w:tcW w:w="736"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等級</w:t>
            </w:r>
          </w:p>
        </w:tc>
        <w:tc>
          <w:tcPr>
            <w:tcW w:w="206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総合数値</w:t>
            </w:r>
          </w:p>
        </w:tc>
        <w:tc>
          <w:tcPr>
            <w:tcW w:w="2942"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発注基準額（設計金額）</w:t>
            </w:r>
          </w:p>
        </w:tc>
        <w:tc>
          <w:tcPr>
            <w:tcW w:w="127" w:type="dxa"/>
            <w:vMerge w:val="restart"/>
            <w:tcBorders>
              <w:top w:val="nil"/>
              <w:left w:val="none" w:color="auto" w:sz="0" w:space="0"/>
              <w:bottom w:val="nil"/>
              <w:right w:val="none" w:color="auto" w:sz="0" w:space="0"/>
              <w:tl2br w:val="nil"/>
              <w:tr2bl w:val="nil"/>
            </w:tcBorders>
            <w:vAlign w:val="top"/>
          </w:tcPr>
          <w:p>
            <w:pPr>
              <w:pStyle w:val="0"/>
              <w:rPr>
                <w:rFonts w:hint="eastAsia"/>
              </w:rPr>
            </w:pPr>
          </w:p>
        </w:tc>
      </w:tr>
      <w:tr>
        <w:trPr>
          <w:trHeight w:val="389" w:hRule="atLeast"/>
        </w:trPr>
        <w:tc>
          <w:tcPr>
            <w:tcW w:w="1177"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土木工事</w:t>
            </w:r>
          </w:p>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一式</w:t>
            </w:r>
          </w:p>
        </w:tc>
        <w:tc>
          <w:tcPr>
            <w:tcW w:w="736"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Ａ</w:t>
            </w:r>
          </w:p>
        </w:tc>
        <w:tc>
          <w:tcPr>
            <w:tcW w:w="206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ind w:firstLine="120" w:firstLineChars="50"/>
              <w:jc w:val="left"/>
              <w:rPr>
                <w:rFonts w:hint="eastAsia"/>
              </w:rPr>
            </w:pPr>
            <w:r>
              <w:rPr>
                <w:rFonts w:hint="default" w:ascii="ＭＳ 明朝" w:hAnsi="ＭＳ 明朝" w:eastAsia="ＭＳ 明朝"/>
                <w:color w:val="000000" w:themeColor="text1"/>
                <w:kern w:val="0"/>
                <w:sz w:val="24"/>
              </w:rPr>
              <w:t>1,300</w:t>
            </w:r>
            <w:r>
              <w:rPr>
                <w:rFonts w:hint="eastAsia" w:ascii="ＭＳ 明朝" w:hAnsi="ＭＳ 明朝" w:eastAsia="ＭＳ 明朝"/>
                <w:color w:val="000000" w:themeColor="text1"/>
                <w:kern w:val="0"/>
                <w:sz w:val="24"/>
              </w:rPr>
              <w:t>点以上</w:t>
            </w:r>
          </w:p>
        </w:tc>
        <w:tc>
          <w:tcPr>
            <w:tcW w:w="2942"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adjustRightInd w:val="0"/>
              <w:ind w:firstLine="120" w:firstLineChars="50"/>
              <w:jc w:val="left"/>
              <w:rPr>
                <w:rFonts w:hint="eastAsia"/>
              </w:rPr>
            </w:pPr>
            <w:r>
              <w:rPr>
                <w:rFonts w:hint="eastAsia" w:ascii="ＭＳ 明朝" w:hAnsi="ＭＳ 明朝" w:eastAsia="ＭＳ 明朝"/>
                <w:color w:val="000000" w:themeColor="text1"/>
                <w:kern w:val="0"/>
                <w:sz w:val="24"/>
              </w:rPr>
              <w:t>１億</w:t>
            </w:r>
            <w:r>
              <w:rPr>
                <w:rFonts w:hint="eastAsia" w:ascii="ＭＳ 明朝" w:hAnsi="ＭＳ 明朝" w:eastAsia="ＭＳ 明朝"/>
                <w:color w:val="000000" w:themeColor="text1"/>
                <w:kern w:val="0"/>
                <w:sz w:val="24"/>
              </w:rPr>
              <w:t>5,000</w:t>
            </w:r>
            <w:r>
              <w:rPr>
                <w:rFonts w:hint="eastAsia" w:ascii="ＭＳ 明朝" w:hAnsi="ＭＳ 明朝" w:eastAsia="ＭＳ 明朝"/>
                <w:color w:val="000000" w:themeColor="text1"/>
                <w:kern w:val="0"/>
                <w:sz w:val="24"/>
              </w:rPr>
              <w:t>万円以上</w:t>
            </w:r>
          </w:p>
        </w:tc>
        <w:tc>
          <w:tcPr>
            <w:tcW w:w="12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778" w:hRule="atLeast"/>
        </w:trPr>
        <w:tc>
          <w:tcPr>
            <w:tcW w:w="117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p>
        </w:tc>
        <w:tc>
          <w:tcPr>
            <w:tcW w:w="736"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Ｂ</w:t>
            </w:r>
          </w:p>
        </w:tc>
        <w:tc>
          <w:tcPr>
            <w:tcW w:w="206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ind w:firstLine="120" w:firstLineChars="5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1,300</w:t>
            </w:r>
            <w:r>
              <w:rPr>
                <w:rFonts w:hint="eastAsia" w:ascii="ＭＳ 明朝" w:hAnsi="ＭＳ 明朝" w:eastAsia="ＭＳ 明朝"/>
                <w:color w:val="000000" w:themeColor="text1"/>
                <w:kern w:val="0"/>
                <w:sz w:val="24"/>
              </w:rPr>
              <w:t>点未満</w:t>
            </w:r>
          </w:p>
          <w:p>
            <w:pPr>
              <w:pStyle w:val="0"/>
              <w:autoSpaceDE w:val="0"/>
              <w:autoSpaceDN w:val="0"/>
              <w:adjustRightInd w:val="0"/>
              <w:ind w:firstLine="120" w:firstLineChars="50"/>
              <w:jc w:val="left"/>
              <w:rPr>
                <w:rFonts w:hint="eastAsia"/>
              </w:rPr>
            </w:pPr>
            <w:r>
              <w:rPr>
                <w:rFonts w:hint="default" w:ascii="ＭＳ 明朝" w:hAnsi="ＭＳ 明朝" w:eastAsia="ＭＳ 明朝"/>
                <w:color w:val="000000" w:themeColor="text1"/>
                <w:kern w:val="0"/>
                <w:sz w:val="24"/>
              </w:rPr>
              <w:t>1,000</w:t>
            </w:r>
            <w:r>
              <w:rPr>
                <w:rFonts w:hint="eastAsia" w:ascii="ＭＳ 明朝" w:hAnsi="ＭＳ 明朝" w:eastAsia="ＭＳ 明朝"/>
                <w:color w:val="000000" w:themeColor="text1"/>
                <w:kern w:val="0"/>
                <w:sz w:val="24"/>
              </w:rPr>
              <w:t>点以上</w:t>
            </w:r>
          </w:p>
        </w:tc>
        <w:tc>
          <w:tcPr>
            <w:tcW w:w="2942"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adjustRightInd w:val="0"/>
              <w:ind w:firstLine="120" w:firstLineChars="50"/>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１億</w:t>
            </w:r>
            <w:r>
              <w:rPr>
                <w:rFonts w:hint="eastAsia" w:ascii="ＭＳ 明朝" w:hAnsi="ＭＳ 明朝" w:eastAsia="ＭＳ 明朝"/>
                <w:color w:val="000000" w:themeColor="text1"/>
                <w:kern w:val="0"/>
                <w:sz w:val="24"/>
              </w:rPr>
              <w:t>5,000</w:t>
            </w:r>
            <w:r>
              <w:rPr>
                <w:rFonts w:hint="eastAsia" w:ascii="ＭＳ 明朝" w:hAnsi="ＭＳ 明朝" w:eastAsia="ＭＳ 明朝"/>
                <w:color w:val="000000" w:themeColor="text1"/>
                <w:kern w:val="0"/>
                <w:sz w:val="24"/>
              </w:rPr>
              <w:t>万円未満</w:t>
            </w:r>
          </w:p>
          <w:p>
            <w:pPr>
              <w:pStyle w:val="0"/>
              <w:autoSpaceDE w:val="0"/>
              <w:autoSpaceDN w:val="0"/>
              <w:adjustRightInd w:val="0"/>
              <w:ind w:firstLine="120" w:firstLineChars="50"/>
              <w:jc w:val="left"/>
              <w:rPr>
                <w:rFonts w:hint="eastAsia"/>
              </w:rPr>
            </w:pPr>
            <w:r>
              <w:rPr>
                <w:rFonts w:hint="eastAsia" w:ascii="ＭＳ 明朝" w:hAnsi="ＭＳ 明朝" w:eastAsia="ＭＳ 明朝"/>
                <w:color w:val="000000" w:themeColor="text1"/>
                <w:kern w:val="0"/>
                <w:sz w:val="24"/>
              </w:rPr>
              <w:t>3,000</w:t>
            </w:r>
            <w:r>
              <w:rPr>
                <w:rFonts w:hint="eastAsia" w:ascii="ＭＳ 明朝" w:hAnsi="ＭＳ 明朝" w:eastAsia="ＭＳ 明朝"/>
                <w:color w:val="000000" w:themeColor="text1"/>
                <w:kern w:val="0"/>
                <w:sz w:val="24"/>
              </w:rPr>
              <w:t>万円以上</w:t>
            </w:r>
          </w:p>
        </w:tc>
        <w:tc>
          <w:tcPr>
            <w:tcW w:w="12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389" w:hRule="atLeast"/>
        </w:trPr>
        <w:tc>
          <w:tcPr>
            <w:tcW w:w="117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p>
        </w:tc>
        <w:tc>
          <w:tcPr>
            <w:tcW w:w="736"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Ｃ</w:t>
            </w:r>
          </w:p>
        </w:tc>
        <w:tc>
          <w:tcPr>
            <w:tcW w:w="206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ind w:firstLine="120" w:firstLineChars="50"/>
              <w:jc w:val="left"/>
              <w:rPr>
                <w:rFonts w:hint="eastAsia"/>
              </w:rPr>
            </w:pPr>
            <w:r>
              <w:rPr>
                <w:rFonts w:hint="default" w:ascii="ＭＳ 明朝" w:hAnsi="ＭＳ 明朝" w:eastAsia="ＭＳ 明朝"/>
                <w:color w:val="000000" w:themeColor="text1"/>
                <w:kern w:val="0"/>
                <w:sz w:val="24"/>
              </w:rPr>
              <w:t>1,000</w:t>
            </w:r>
            <w:r>
              <w:rPr>
                <w:rFonts w:hint="eastAsia" w:ascii="ＭＳ 明朝" w:hAnsi="ＭＳ 明朝" w:eastAsia="ＭＳ 明朝"/>
                <w:color w:val="000000" w:themeColor="text1"/>
                <w:kern w:val="0"/>
                <w:sz w:val="24"/>
              </w:rPr>
              <w:t>点未満</w:t>
            </w:r>
          </w:p>
        </w:tc>
        <w:tc>
          <w:tcPr>
            <w:tcW w:w="2942"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adjustRightInd w:val="0"/>
              <w:ind w:firstLine="120" w:firstLineChars="50"/>
              <w:jc w:val="left"/>
              <w:rPr>
                <w:rFonts w:hint="eastAsia"/>
              </w:rPr>
            </w:pPr>
            <w:r>
              <w:rPr>
                <w:rFonts w:hint="eastAsia" w:ascii="ＭＳ 明朝" w:hAnsi="ＭＳ 明朝" w:eastAsia="ＭＳ 明朝"/>
                <w:color w:val="000000" w:themeColor="text1"/>
                <w:kern w:val="0"/>
                <w:sz w:val="24"/>
              </w:rPr>
              <w:t>3,000</w:t>
            </w:r>
            <w:r>
              <w:rPr>
                <w:rFonts w:hint="eastAsia" w:ascii="ＭＳ 明朝" w:hAnsi="ＭＳ 明朝" w:eastAsia="ＭＳ 明朝"/>
                <w:color w:val="000000" w:themeColor="text1"/>
                <w:kern w:val="0"/>
                <w:sz w:val="24"/>
              </w:rPr>
              <w:t>万円未満</w:t>
            </w:r>
          </w:p>
        </w:tc>
        <w:tc>
          <w:tcPr>
            <w:tcW w:w="12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388" w:hRule="atLeast"/>
        </w:trPr>
        <w:tc>
          <w:tcPr>
            <w:tcW w:w="1177"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建築工事</w:t>
            </w:r>
          </w:p>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一式</w:t>
            </w:r>
          </w:p>
        </w:tc>
        <w:tc>
          <w:tcPr>
            <w:tcW w:w="736"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Ａ</w:t>
            </w:r>
          </w:p>
        </w:tc>
        <w:tc>
          <w:tcPr>
            <w:tcW w:w="206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ind w:firstLine="120" w:firstLineChars="50"/>
              <w:jc w:val="left"/>
              <w:rPr>
                <w:rFonts w:hint="eastAsia"/>
              </w:rPr>
            </w:pPr>
            <w:r>
              <w:rPr>
                <w:rFonts w:hint="default" w:ascii="ＭＳ 明朝" w:hAnsi="ＭＳ 明朝" w:eastAsia="ＭＳ 明朝"/>
                <w:color w:val="000000" w:themeColor="text1"/>
                <w:kern w:val="0"/>
                <w:sz w:val="24"/>
              </w:rPr>
              <w:t>1,400</w:t>
            </w:r>
            <w:r>
              <w:rPr>
                <w:rFonts w:hint="eastAsia" w:ascii="ＭＳ 明朝" w:hAnsi="ＭＳ 明朝" w:eastAsia="ＭＳ 明朝"/>
                <w:color w:val="000000" w:themeColor="text1"/>
                <w:kern w:val="0"/>
                <w:sz w:val="24"/>
              </w:rPr>
              <w:t>点以上</w:t>
            </w:r>
          </w:p>
        </w:tc>
        <w:tc>
          <w:tcPr>
            <w:tcW w:w="2942"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adjustRightInd w:val="0"/>
              <w:ind w:firstLine="120" w:firstLineChars="50"/>
              <w:jc w:val="left"/>
              <w:rPr>
                <w:rFonts w:hint="eastAsia"/>
              </w:rPr>
            </w:pPr>
            <w:r>
              <w:rPr>
                <w:rFonts w:hint="eastAsia" w:ascii="ＭＳ 明朝" w:hAnsi="ＭＳ 明朝" w:eastAsia="ＭＳ 明朝"/>
                <w:color w:val="000000" w:themeColor="text1"/>
                <w:kern w:val="0"/>
                <w:sz w:val="24"/>
              </w:rPr>
              <w:t>２億円以上</w:t>
            </w:r>
          </w:p>
        </w:tc>
        <w:tc>
          <w:tcPr>
            <w:tcW w:w="12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778" w:hRule="atLeast"/>
        </w:trPr>
        <w:tc>
          <w:tcPr>
            <w:tcW w:w="117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p>
        </w:tc>
        <w:tc>
          <w:tcPr>
            <w:tcW w:w="736"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Ｂ</w:t>
            </w:r>
          </w:p>
        </w:tc>
        <w:tc>
          <w:tcPr>
            <w:tcW w:w="206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ind w:firstLine="120" w:firstLineChars="5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1,400</w:t>
            </w:r>
            <w:r>
              <w:rPr>
                <w:rFonts w:hint="eastAsia" w:ascii="ＭＳ 明朝" w:hAnsi="ＭＳ 明朝" w:eastAsia="ＭＳ 明朝"/>
                <w:color w:val="000000" w:themeColor="text1"/>
                <w:kern w:val="0"/>
                <w:sz w:val="24"/>
              </w:rPr>
              <w:t>点未満</w:t>
            </w:r>
          </w:p>
          <w:p>
            <w:pPr>
              <w:pStyle w:val="0"/>
              <w:autoSpaceDE w:val="0"/>
              <w:autoSpaceDN w:val="0"/>
              <w:adjustRightInd w:val="0"/>
              <w:ind w:firstLine="120" w:firstLineChars="50"/>
              <w:jc w:val="left"/>
              <w:rPr>
                <w:rFonts w:hint="eastAsia"/>
              </w:rPr>
            </w:pPr>
            <w:r>
              <w:rPr>
                <w:rFonts w:hint="default" w:ascii="ＭＳ 明朝" w:hAnsi="ＭＳ 明朝" w:eastAsia="ＭＳ 明朝"/>
                <w:color w:val="000000" w:themeColor="text1"/>
                <w:kern w:val="0"/>
                <w:sz w:val="24"/>
              </w:rPr>
              <w:t>900</w:t>
            </w:r>
            <w:r>
              <w:rPr>
                <w:rFonts w:hint="eastAsia" w:ascii="ＭＳ 明朝" w:hAnsi="ＭＳ 明朝" w:eastAsia="ＭＳ 明朝"/>
                <w:color w:val="000000" w:themeColor="text1"/>
                <w:kern w:val="0"/>
                <w:sz w:val="24"/>
              </w:rPr>
              <w:t>点以上</w:t>
            </w:r>
          </w:p>
        </w:tc>
        <w:tc>
          <w:tcPr>
            <w:tcW w:w="2942"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adjustRightInd w:val="0"/>
              <w:ind w:firstLine="120" w:firstLineChars="50"/>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２億円未満</w:t>
            </w:r>
          </w:p>
          <w:p>
            <w:pPr>
              <w:pStyle w:val="0"/>
              <w:autoSpaceDE w:val="0"/>
              <w:autoSpaceDN w:val="0"/>
              <w:adjustRightInd w:val="0"/>
              <w:ind w:firstLine="120" w:firstLineChars="50"/>
              <w:jc w:val="left"/>
              <w:rPr>
                <w:rFonts w:hint="eastAsia"/>
              </w:rPr>
            </w:pPr>
            <w:r>
              <w:rPr>
                <w:rFonts w:hint="eastAsia" w:ascii="ＭＳ 明朝" w:hAnsi="ＭＳ 明朝" w:eastAsia="ＭＳ 明朝"/>
                <w:color w:val="000000" w:themeColor="text1"/>
                <w:kern w:val="0"/>
                <w:sz w:val="24"/>
              </w:rPr>
              <w:t>5,000</w:t>
            </w:r>
            <w:r>
              <w:rPr>
                <w:rFonts w:hint="eastAsia" w:ascii="ＭＳ 明朝" w:hAnsi="ＭＳ 明朝" w:eastAsia="ＭＳ 明朝"/>
                <w:color w:val="000000" w:themeColor="text1"/>
                <w:kern w:val="0"/>
                <w:sz w:val="24"/>
              </w:rPr>
              <w:t>万円以上</w:t>
            </w:r>
          </w:p>
        </w:tc>
        <w:tc>
          <w:tcPr>
            <w:tcW w:w="12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389" w:hRule="atLeast"/>
        </w:trPr>
        <w:tc>
          <w:tcPr>
            <w:tcW w:w="117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p>
        </w:tc>
        <w:tc>
          <w:tcPr>
            <w:tcW w:w="736"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jc w:val="center"/>
              <w:rPr>
                <w:rFonts w:hint="eastAsia"/>
              </w:rPr>
            </w:pPr>
            <w:r>
              <w:rPr>
                <w:rFonts w:hint="eastAsia" w:ascii="ＭＳ 明朝" w:hAnsi="ＭＳ 明朝" w:eastAsia="ＭＳ 明朝"/>
                <w:color w:val="000000" w:themeColor="text1"/>
                <w:kern w:val="0"/>
                <w:sz w:val="24"/>
              </w:rPr>
              <w:t>Ｃ</w:t>
            </w:r>
          </w:p>
        </w:tc>
        <w:tc>
          <w:tcPr>
            <w:tcW w:w="206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ind w:firstLine="120" w:firstLineChars="50"/>
              <w:jc w:val="left"/>
              <w:rPr>
                <w:rFonts w:hint="eastAsia"/>
              </w:rPr>
            </w:pPr>
            <w:r>
              <w:rPr>
                <w:rFonts w:hint="default" w:ascii="ＭＳ 明朝" w:hAnsi="ＭＳ 明朝" w:eastAsia="ＭＳ 明朝"/>
                <w:color w:val="000000" w:themeColor="text1"/>
                <w:kern w:val="0"/>
                <w:sz w:val="24"/>
              </w:rPr>
              <w:t>900</w:t>
            </w:r>
            <w:r>
              <w:rPr>
                <w:rFonts w:hint="eastAsia" w:ascii="ＭＳ 明朝" w:hAnsi="ＭＳ 明朝" w:eastAsia="ＭＳ 明朝"/>
                <w:color w:val="000000" w:themeColor="text1"/>
                <w:kern w:val="0"/>
                <w:sz w:val="24"/>
              </w:rPr>
              <w:t>点未満</w:t>
            </w:r>
          </w:p>
        </w:tc>
        <w:tc>
          <w:tcPr>
            <w:tcW w:w="2942"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adjustRightInd w:val="0"/>
              <w:ind w:firstLine="120" w:firstLineChars="50"/>
              <w:jc w:val="left"/>
              <w:rPr>
                <w:rFonts w:hint="eastAsia"/>
              </w:rPr>
            </w:pPr>
            <w:r>
              <w:rPr>
                <w:rFonts w:hint="eastAsia" w:ascii="ＭＳ 明朝" w:hAnsi="ＭＳ 明朝" w:eastAsia="ＭＳ 明朝"/>
                <w:color w:val="000000" w:themeColor="text1"/>
                <w:kern w:val="0"/>
                <w:sz w:val="24"/>
              </w:rPr>
              <w:t>5,000</w:t>
            </w:r>
            <w:r>
              <w:rPr>
                <w:rFonts w:hint="eastAsia" w:ascii="ＭＳ 明朝" w:hAnsi="ＭＳ 明朝" w:eastAsia="ＭＳ 明朝"/>
                <w:color w:val="000000" w:themeColor="text1"/>
                <w:kern w:val="0"/>
                <w:sz w:val="24"/>
              </w:rPr>
              <w:t>万円未満</w:t>
            </w:r>
          </w:p>
        </w:tc>
        <w:tc>
          <w:tcPr>
            <w:tcW w:w="127" w:type="dxa"/>
            <w:vMerge w:val="continue"/>
            <w:tcBorders>
              <w:top w:val="none" w:color="auto" w:sz="0" w:space="0"/>
              <w:left w:val="none" w:color="auto" w:sz="0" w:space="0"/>
              <w:bottom w:val="nil"/>
              <w:right w:val="none" w:color="auto" w:sz="0" w:space="0"/>
              <w:tl2br w:val="nil"/>
              <w:tr2bl w:val="nil"/>
            </w:tcBorders>
            <w:vAlign w:val="top"/>
          </w:tcPr>
          <w:p>
            <w:pPr>
              <w:pStyle w:val="0"/>
              <w:rPr>
                <w:rFonts w:hint="eastAsia"/>
              </w:rPr>
            </w:pPr>
          </w:p>
        </w:tc>
      </w:tr>
    </w:tbl>
    <w:p>
      <w:pPr>
        <w:pStyle w:val="0"/>
        <w:autoSpaceDE w:val="0"/>
        <w:autoSpaceDN w:val="0"/>
        <w:adjustRightInd w:val="0"/>
        <w:ind w:firstLine="220"/>
        <w:rPr>
          <w:rFonts w:hint="default" w:ascii="ＭＳ 明朝" w:hAnsi="ＭＳ 明朝" w:eastAsia="ＭＳ 明朝"/>
          <w:color w:val="000000" w:themeColor="text1"/>
          <w:sz w:val="24"/>
        </w:rPr>
      </w:pPr>
      <w:r>
        <w:rPr>
          <w:rFonts w:hint="eastAsia" w:ascii="ＭＳ 明朝" w:hAnsi="ＭＳ 明朝" w:eastAsia="ＭＳ 明朝"/>
          <w:color w:val="000000" w:themeColor="text1"/>
          <w:kern w:val="0"/>
          <w:sz w:val="24"/>
        </w:rPr>
        <w:t>上記の表は、一般競争入札においては適用しない。</w:t>
      </w:r>
    </w:p>
    <w:p>
      <w:pPr>
        <w:pStyle w:val="0"/>
        <w:autoSpaceDE w:val="0"/>
        <w:autoSpaceDN w:val="0"/>
        <w:adjustRightInd w:val="0"/>
        <w:ind w:firstLine="220"/>
        <w:rPr>
          <w:rFonts w:hint="default" w:ascii="ＭＳ 明朝" w:hAnsi="ＭＳ 明朝" w:eastAsia="ＭＳ 明朝"/>
          <w:color w:val="000000" w:themeColor="text1"/>
          <w:sz w:val="24"/>
        </w:rPr>
      </w:pPr>
      <w:r>
        <w:rPr>
          <w:rFonts w:hint="eastAsia" w:ascii="ＭＳ 明朝" w:hAnsi="ＭＳ 明朝" w:eastAsia="ＭＳ 明朝"/>
          <w:color w:val="000000" w:themeColor="text1"/>
          <w:kern w:val="0"/>
          <w:sz w:val="24"/>
        </w:rPr>
        <w:t>その他の建設工事については、その都度町長が定める。</w:t>
      </w:r>
    </w:p>
    <w:p>
      <w:pPr>
        <w:pStyle w:val="0"/>
        <w:autoSpaceDE w:val="0"/>
        <w:autoSpaceDN w:val="0"/>
        <w:adjustRightInd w:val="0"/>
        <w:ind w:firstLine="220"/>
        <w:rPr>
          <w:rFonts w:hint="default" w:ascii="ＭＳ 明朝" w:hAnsi="ＭＳ 明朝" w:eastAsia="ＭＳ 明朝"/>
          <w:color w:val="000000" w:themeColor="text1"/>
          <w:sz w:val="24"/>
        </w:rPr>
      </w:pPr>
    </w:p>
    <w:sectPr>
      <w:pgSz w:w="11906" w:h="16838"/>
      <w:pgMar w:top="1985" w:right="1276" w:bottom="1701" w:left="1701" w:header="720" w:footer="720" w:gutter="0"/>
      <w:cols w:space="720"/>
      <w:noEndnote w:val="1"/>
      <w:textDirection w:val="lrTb"/>
      <w:docGrid w:type="lines" w:linePitch="395" w:charSpace="12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eastAsia="ＭＳ 明朝"/>
        <w:kern w:val="0"/>
        <w:sz w:val="24"/>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kern w:val="0"/>
        <w:sz w:val="24"/>
      </w:rPr>
      <w:t>5</w:t>
    </w:r>
    <w:r>
      <w:rPr>
        <w:rFonts w:hint="eastAsia"/>
      </w:rPr>
      <w:fldChar w:fldCharType="end"/>
    </w:r>
    <w:r>
      <w:rPr>
        <w:rFonts w:hint="default" w:ascii="ＭＳ 明朝" w:hAnsi="ＭＳ 明朝" w:eastAsia="ＭＳ 明朝"/>
        <w:kern w:val="0"/>
        <w:sz w:val="24"/>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kern w:val="0"/>
        <w:sz w:val="24"/>
      </w:rPr>
      <w:t>5</w:t>
    </w:r>
    <w:r>
      <w:rPr>
        <w:rFonts w:hint="eastAsia"/>
      </w:rPr>
      <w:fldChar w:fldCharType="end"/>
    </w:r>
    <w:r>
      <w:rPr>
        <w:rFonts w:hint="default" w:ascii="ＭＳ 明朝" w:hAnsi="ＭＳ 明朝" w:eastAsia="ＭＳ 明朝"/>
        <w:kern w:val="0"/>
        <w:sz w:val="24"/>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drawingGridHorizontalSpacing w:val="271"/>
  <w:drawingGridVerticalSpacing w:val="36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000000" w:themeColor="text1"/>
        <w:spacing w:val="0"/>
        <w:w w:val="100"/>
        <w:kern w:val="0"/>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footer" Target="footer1.xml" />
  <Relationship Id="rId6"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1259</TotalTime>
  <Pages>7</Pages>
  <Words>84</Words>
  <Characters>3621</Characters>
  <Application>JUST Note</Application>
  <Lines>2010</Lines>
  <Paragraphs>140</Paragraphs>
  <CharactersWithSpaces>3695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太子町</dc:creator>
  <cp:lastModifiedBy>坂口　萌加</cp:lastModifiedBy>
  <cp:lastPrinted>2026-03-12T05:49:47Z</cp:lastPrinted>
  <dcterms:created xsi:type="dcterms:W3CDTF">2015-01-28T04:48:00Z</dcterms:created>
  <dcterms:modified xsi:type="dcterms:W3CDTF">2026-03-31T00:25:01Z</dcterms:modified>
  <cp:revision>60</cp:revision>
</cp:coreProperties>
</file>